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86</w:t>
      </w:r>
    </w:p>
    <w:p>
      <w:r>
        <w:t>Bundesgericht (BGE), 1965-04-09, DE</w:t>
      </w:r>
    </w:p>
    <w:p>
      <w:r>
        <w:rPr>
          <w:b/>
        </w:rPr>
        <w:t xml:space="preserve">Quelle: </w:t>
      </w:r>
      <w:r>
        <w:t>https://mcp.opencaselaw.ch/entscheid/bge_91 IV 86</w:t>
      </w:r>
    </w:p>
    <w:p>
      <w:r>
        <w:t>FR: ATF 91 IV 86</w:t>
      </w:r>
    </w:p>
    <w:p>
      <w:r>
        <w:t>IT: DTF 91 IV 86</w:t>
      </w:r>
    </w:p>
    <w:p>
      <w:pPr>
        <w:pStyle w:val="Heading2"/>
      </w:pPr>
      <w:r>
        <w:t>Regeste</w:t>
      </w:r>
    </w:p>
    <w:p>
      <w:r>
        <w:t>Regeste 1. Art. 34 Abs. 4 SVG. Seitlicher Abstand beim Überholen von Fussgängern; 50 cm sind je nach den Umständen ungenügend. 2. Art. 42 Abs. 1 SVG. Die vermeidbare Belästigung kann im Erschrecken eines Fussgängers liegen, in dessen Nähe unnötigerweise ein Fahrzeug stark gebremst wird.</w:t>
      </w:r>
    </w:p>
    <w:p>
      <w:pPr>
        <w:pStyle w:val="Heading2"/>
      </w:pPr>
      <w:r>
        <w:t>Erwägungen</w:t>
      </w:r>
    </w:p>
    <w:p>
      <w:r>
        <w:rPr>
          <w:b/>
        </w:rPr>
        <w:t>E. 1</w:t>
      </w:r>
    </w:p>
    <w:p>
      <w:r>
        <w:t>...</w:t>
      </w:r>
    </w:p>
    <w:p>
      <w:r>
        <w:rPr>
          <w:b/>
        </w:rPr>
        <w:t>E. 2</w:t>
      </w:r>
    </w:p>
    <w:p>
      <w:r>
        <w:t>Nach Art. 34 Abs. 4 SVG ist der Fahrzeugführer verpflichtet, beim Überholen gegenüber allen Strassenbenützern einen ausreichenden Abstand zu wahren. Die Grösse des seitlichen Abstandes, der gegenüber am Strassenrand gehenden Fussgängern einzuhalten ist, kann nicht allgemein zahlenmässig festgelegt werden. Sie richtet sich vielmehr nach der Breite der Fahrbahn, den Verkehrs- und Sichtverhältnissen und der Geschwindigkeit des überholenden Fahrzeuges. Ein Abstand von 50 cm kann unter Umständen, z.B. in einer engen Gasse bei geringer Geschwindigkeit, die ein sofortiges Anhalten erlaubt, genügen. Im vorliegenden Falle ist nicht festgestellt, und es wird auch in der Beschwerde nicht behauptet, dass die Verhältnisse den Beschwerdeführer gezwungen hätten, beim Überholen der Fussgängerin bis auf rund 50 cm an sie heranzufahren. Das Obergericht geht im Gegenteil davon aus, dass ein grösserer Abstand ohne weiteres möglich war. Aus diesem Grunde hat auch die Fussgängerin mit einer solchen Annäherung nicht gerechnet und war sie darauf nicht gefasst. Unter diesen Umständen ist ein Abstand von nur 50 cm, der zu Fehlreaktionen des Fussgängers führen kann, nicht genügend, insbesondere in der Dunkelheit nicht, wie es hier zutraf. Die Annahme einer Widerhandlung gegen Art. 34 Abs. 4 SVG ist daher begründet.</w:t>
      </w:r>
    </w:p>
    <w:p>
      <w:r>
        <w:rPr>
          <w:b/>
        </w:rPr>
        <w:t>E. 3</w:t>
      </w:r>
    </w:p>
    <w:p>
      <w:r>
        <w:t>Nicht notwendig war auch, dass der Beschwerdeführer BGE 91 IV 86 S. 88 in nächster Nähe der Fussgängerin sein Fahrzeug stark bremste. Wie das Obergericht verbindlich feststellt, ist die Fussgängerin dadurch erschreckt worden, womit der Beschwerdeführer Art. 42 Abs. 1 SVG zuwidergehandelt hat. Die vermeidbare Belästigung im Sinne dieser Bestimmung liegt im unnötigen Erschrecken der Fussgängerin, nicht im Geräusch an sich, das durch das heftige Bremsen verursacht wurde. Der Einwand des Beschwerdeführers, dass die bei jedem Bremsen entstehenden Geräusche nicht als lästiger Lärm gelten könnten, geht daher an der Sache vorbei.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